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jc w:val="center"/>
        <w:rPr>
          <w:rFonts w:hint="eastAsia"/>
          <w:lang w:val="en-US" w:eastAsia="zh-CN"/>
        </w:rPr>
      </w:pPr>
      <w:r>
        <w:rPr>
          <w:rFonts w:hint="eastAsia"/>
          <w:lang w:val="en-US" w:eastAsia="zh-CN"/>
        </w:rPr>
        <w:t>ICDS-3路灯物联数据集中器使用说明书</w:t>
      </w:r>
    </w:p>
    <w:p>
      <w:pPr>
        <w:pStyle w:val="3"/>
        <w:numPr>
          <w:ilvl w:val="0"/>
          <w:numId w:val="1"/>
        </w:numPr>
        <w:bidi w:val="0"/>
        <w:rPr>
          <w:rFonts w:hint="eastAsia"/>
          <w:lang w:val="en-US" w:eastAsia="zh-CN"/>
        </w:rPr>
      </w:pPr>
      <w:r>
        <w:rPr>
          <w:rFonts w:hint="eastAsia"/>
          <w:lang w:val="en-US" w:eastAsia="zh-CN"/>
        </w:rPr>
        <w:t>概述</w:t>
      </w:r>
    </w:p>
    <w:p>
      <w:pPr>
        <w:numPr>
          <w:ilvl w:val="0"/>
          <w:numId w:val="0"/>
        </w:numPr>
        <w:spacing w:line="360" w:lineRule="auto"/>
        <w:jc w:val="both"/>
        <w:rPr>
          <w:rFonts w:hint="eastAsia" w:ascii="Times New Roman" w:hAnsi="Times New Roman" w:cs="Times New Roman"/>
          <w:b w:val="0"/>
          <w:bCs w:val="0"/>
          <w:sz w:val="24"/>
          <w:szCs w:val="24"/>
          <w:lang w:val="en-US" w:eastAsia="zh-CN"/>
        </w:rPr>
      </w:pPr>
      <w:r>
        <w:rPr>
          <w:rFonts w:hint="eastAsia"/>
          <w:b w:val="0"/>
          <w:bCs w:val="0"/>
          <w:sz w:val="24"/>
          <w:szCs w:val="24"/>
          <w:lang w:val="en-US" w:eastAsia="zh-CN"/>
        </w:rPr>
        <w:t xml:space="preserve">    城市照明智能监控终端是路灯智能照明监控系统中的关键设备。其下行信道是低压电力线载波及RS-485串行通信通道，能够通过电力线载波通讯功能与本公司的单灯控制器进行通信，控制单灯开关、调节单灯亮度、查询单灯状态等。并能采集外部485电能表数据、内部可采集三相电压、三相电流及外部连接电能模块可扩展采集12</w:t>
      </w:r>
      <w:r>
        <w:rPr>
          <w:rFonts w:hint="default" w:ascii="Times New Roman" w:hAnsi="Times New Roman" w:cs="Times New Roman"/>
          <w:b w:val="0"/>
          <w:bCs w:val="0"/>
          <w:sz w:val="24"/>
          <w:szCs w:val="24"/>
          <w:lang w:val="en-US" w:eastAsia="zh-CN"/>
        </w:rPr>
        <w:t>~</w:t>
      </w:r>
      <w:r>
        <w:rPr>
          <w:rFonts w:hint="eastAsia" w:ascii="Times New Roman" w:hAnsi="Times New Roman" w:cs="Times New Roman"/>
          <w:b w:val="0"/>
          <w:bCs w:val="0"/>
          <w:sz w:val="24"/>
          <w:szCs w:val="24"/>
          <w:lang w:val="en-US" w:eastAsia="zh-CN"/>
        </w:rPr>
        <w:t>48支路电流数据、可采集电缆漏电电流数据，集中器控制输出4路开关信号（可扩展多路），输入8路开关量信号。其上行信道采用公用通讯网，支持客户端、服务器两种通信方式。符合IEC国际电工委员会相关标准。</w:t>
      </w:r>
    </w:p>
    <w:p>
      <w:pPr>
        <w:pStyle w:val="3"/>
        <w:numPr>
          <w:ilvl w:val="0"/>
          <w:numId w:val="1"/>
        </w:numPr>
        <w:bidi w:val="0"/>
        <w:rPr>
          <w:rFonts w:hint="eastAsia"/>
          <w:lang w:val="en-US" w:eastAsia="zh-CN"/>
        </w:rPr>
      </w:pPr>
      <w:r>
        <w:rPr>
          <w:rFonts w:hint="eastAsia"/>
          <w:lang w:val="en-US" w:eastAsia="zh-CN"/>
        </w:rPr>
        <w:t>功能介绍</w:t>
      </w:r>
    </w:p>
    <w:p>
      <w:pPr>
        <w:pStyle w:val="4"/>
        <w:bidi w:val="0"/>
        <w:rPr>
          <w:rFonts w:hint="eastAsia"/>
          <w:lang w:val="en-US" w:eastAsia="zh-CN"/>
        </w:rPr>
      </w:pPr>
      <w:r>
        <w:rPr>
          <w:rFonts w:hint="eastAsia"/>
          <w:lang w:val="en-US" w:eastAsia="zh-CN"/>
        </w:rPr>
        <w:t>2.1 自动和手动控制功能</w:t>
      </w:r>
    </w:p>
    <w:p>
      <w:pPr>
        <w:numPr>
          <w:ilvl w:val="0"/>
          <w:numId w:val="0"/>
        </w:numPr>
        <w:spacing w:line="360" w:lineRule="auto"/>
        <w:ind w:leftChars="0" w:firstLine="560"/>
        <w:jc w:val="both"/>
        <w:rPr>
          <w:rFonts w:hint="eastAsia" w:ascii="Times New Roman" w:hAnsi="Times New Roman" w:cs="Times New Roman"/>
          <w:b w:val="0"/>
          <w:bCs w:val="0"/>
          <w:sz w:val="24"/>
          <w:szCs w:val="24"/>
          <w:lang w:val="en-US" w:eastAsia="zh-CN"/>
        </w:rPr>
      </w:pPr>
      <w:r>
        <w:rPr>
          <w:rFonts w:hint="eastAsia" w:ascii="Times New Roman" w:hAnsi="Times New Roman" w:cs="Times New Roman"/>
          <w:b w:val="0"/>
          <w:bCs w:val="0"/>
          <w:sz w:val="24"/>
          <w:szCs w:val="24"/>
          <w:lang w:val="en-US" w:eastAsia="zh-CN"/>
        </w:rPr>
        <w:t>可按预先设定的程序，自动控制操作，或解析远程监控中心的命令或本地手动操作控制。</w:t>
      </w:r>
    </w:p>
    <w:p>
      <w:pPr>
        <w:numPr>
          <w:ilvl w:val="0"/>
          <w:numId w:val="0"/>
        </w:numPr>
        <w:spacing w:line="360" w:lineRule="auto"/>
        <w:ind w:leftChars="0" w:firstLine="560"/>
        <w:jc w:val="both"/>
        <w:rPr>
          <w:rFonts w:hint="eastAsia" w:ascii="Times New Roman" w:hAnsi="Times New Roman" w:cs="Times New Roman"/>
          <w:b w:val="0"/>
          <w:bCs w:val="0"/>
          <w:sz w:val="24"/>
          <w:szCs w:val="24"/>
          <w:lang w:val="en-US" w:eastAsia="zh-CN"/>
        </w:rPr>
      </w:pPr>
      <w:r>
        <w:rPr>
          <w:rFonts w:hint="eastAsia" w:ascii="Times New Roman" w:hAnsi="Times New Roman" w:cs="Times New Roman"/>
          <w:b w:val="0"/>
          <w:bCs w:val="0"/>
          <w:sz w:val="24"/>
          <w:szCs w:val="24"/>
          <w:lang w:val="en-US" w:eastAsia="zh-CN"/>
        </w:rPr>
        <w:t>支路控制：控制任意支路交流接触器的开关。</w:t>
      </w:r>
    </w:p>
    <w:p>
      <w:pPr>
        <w:numPr>
          <w:ilvl w:val="0"/>
          <w:numId w:val="0"/>
        </w:numPr>
        <w:spacing w:line="360" w:lineRule="auto"/>
        <w:ind w:leftChars="0" w:firstLine="560"/>
        <w:jc w:val="both"/>
        <w:rPr>
          <w:rFonts w:hint="eastAsia" w:ascii="Times New Roman" w:hAnsi="Times New Roman" w:cs="Times New Roman"/>
          <w:b w:val="0"/>
          <w:bCs w:val="0"/>
          <w:sz w:val="24"/>
          <w:szCs w:val="24"/>
          <w:lang w:val="en-US" w:eastAsia="zh-CN"/>
        </w:rPr>
      </w:pPr>
      <w:r>
        <w:rPr>
          <w:rFonts w:hint="eastAsia" w:ascii="Times New Roman" w:hAnsi="Times New Roman" w:cs="Times New Roman"/>
          <w:b w:val="0"/>
          <w:bCs w:val="0"/>
          <w:sz w:val="24"/>
          <w:szCs w:val="24"/>
          <w:lang w:val="en-US" w:eastAsia="zh-CN"/>
        </w:rPr>
        <w:t>单灯控制：控制任意一组单灯或者任意一只单灯的开关。</w:t>
      </w:r>
    </w:p>
    <w:p>
      <w:pPr>
        <w:numPr>
          <w:ilvl w:val="0"/>
          <w:numId w:val="0"/>
        </w:numPr>
        <w:spacing w:line="360" w:lineRule="auto"/>
        <w:ind w:leftChars="0" w:firstLine="560"/>
        <w:jc w:val="both"/>
        <w:rPr>
          <w:rFonts w:hint="eastAsia" w:ascii="Times New Roman" w:hAnsi="Times New Roman" w:cs="Times New Roman"/>
          <w:b w:val="0"/>
          <w:bCs w:val="0"/>
          <w:sz w:val="24"/>
          <w:szCs w:val="24"/>
          <w:lang w:val="en-US" w:eastAsia="zh-CN"/>
        </w:rPr>
      </w:pPr>
      <w:r>
        <w:rPr>
          <w:rFonts w:hint="eastAsia" w:ascii="Times New Roman" w:hAnsi="Times New Roman" w:cs="Times New Roman"/>
          <w:b w:val="0"/>
          <w:bCs w:val="0"/>
          <w:sz w:val="24"/>
          <w:szCs w:val="24"/>
          <w:lang w:val="en-US" w:eastAsia="zh-CN"/>
        </w:rPr>
        <w:t>单灯调光：调节任意一组单灯或者任意一只单灯的亮度。</w:t>
      </w:r>
    </w:p>
    <w:p>
      <w:pPr>
        <w:pStyle w:val="4"/>
        <w:bidi w:val="0"/>
        <w:rPr>
          <w:rFonts w:hint="eastAsia"/>
          <w:lang w:val="en-US" w:eastAsia="zh-CN"/>
        </w:rPr>
      </w:pPr>
      <w:r>
        <w:rPr>
          <w:rFonts w:hint="eastAsia"/>
          <w:lang w:val="en-US" w:eastAsia="zh-CN"/>
        </w:rPr>
        <w:t>2.2  数据采集</w:t>
      </w:r>
    </w:p>
    <w:p>
      <w:pPr>
        <w:numPr>
          <w:ilvl w:val="0"/>
          <w:numId w:val="0"/>
        </w:numPr>
        <w:spacing w:line="360" w:lineRule="auto"/>
        <w:ind w:firstLine="560"/>
        <w:jc w:val="both"/>
        <w:rPr>
          <w:rFonts w:hint="eastAsia" w:ascii="Times New Roman" w:hAnsi="Times New Roman" w:cs="Times New Roman"/>
          <w:b w:val="0"/>
          <w:bCs w:val="0"/>
          <w:sz w:val="24"/>
          <w:szCs w:val="24"/>
          <w:lang w:val="en-US" w:eastAsia="zh-CN"/>
        </w:rPr>
      </w:pPr>
      <w:r>
        <w:rPr>
          <w:rFonts w:hint="eastAsia" w:ascii="Times New Roman" w:hAnsi="Times New Roman" w:cs="Times New Roman"/>
          <w:b w:val="0"/>
          <w:bCs w:val="0"/>
          <w:sz w:val="24"/>
          <w:szCs w:val="24"/>
          <w:lang w:val="en-US" w:eastAsia="zh-CN"/>
        </w:rPr>
        <w:t>可采集本地母线交流电信息（三相电压、电流、有无功功率、功率因数、有无功电能量等）、支路数据信息（支路开关状态、支路电流等）、单灯运行状态（开、关、亮度或故障等）、各支路电缆状态（电缆被盗或断开）、漏电状态（各支路漏电电流的数据上传）。出现报警可主动上报。</w:t>
      </w:r>
    </w:p>
    <w:p>
      <w:pPr>
        <w:pStyle w:val="4"/>
        <w:bidi w:val="0"/>
        <w:rPr>
          <w:rFonts w:hint="eastAsia"/>
          <w:lang w:val="en-US" w:eastAsia="zh-CN"/>
        </w:rPr>
      </w:pPr>
      <w:r>
        <w:rPr>
          <w:rFonts w:hint="eastAsia"/>
          <w:lang w:val="en-US" w:eastAsia="zh-CN"/>
        </w:rPr>
        <w:t>2.3 远程通信功能</w:t>
      </w:r>
    </w:p>
    <w:p>
      <w:pPr>
        <w:numPr>
          <w:ilvl w:val="0"/>
          <w:numId w:val="0"/>
        </w:numPr>
        <w:spacing w:line="360" w:lineRule="auto"/>
        <w:jc w:val="both"/>
        <w:rPr>
          <w:rFonts w:hint="eastAsia" w:ascii="Times New Roman" w:hAnsi="Times New Roman" w:cs="Times New Roman"/>
          <w:b w:val="0"/>
          <w:bCs w:val="0"/>
          <w:sz w:val="24"/>
          <w:szCs w:val="24"/>
          <w:lang w:val="en-US" w:eastAsia="zh-CN"/>
        </w:rPr>
      </w:pPr>
      <w:r>
        <w:rPr>
          <w:rFonts w:hint="eastAsia" w:ascii="Times New Roman" w:hAnsi="Times New Roman" w:cs="Times New Roman"/>
          <w:b w:val="0"/>
          <w:bCs w:val="0"/>
          <w:sz w:val="24"/>
          <w:szCs w:val="24"/>
          <w:lang w:val="en-US" w:eastAsia="zh-CN"/>
        </w:rPr>
        <w:t xml:space="preserve">    远程通信实现远方数据召唤、传送、定时传送、报警和远程控制命令功能，与监控中心间的通信有多种（NB-IoT、4G）可选。</w:t>
      </w:r>
    </w:p>
    <w:p>
      <w:pPr>
        <w:pStyle w:val="4"/>
        <w:bidi w:val="0"/>
        <w:rPr>
          <w:rFonts w:hint="eastAsia"/>
          <w:lang w:val="en-US" w:eastAsia="zh-CN"/>
        </w:rPr>
      </w:pPr>
      <w:r>
        <w:rPr>
          <w:rFonts w:hint="eastAsia"/>
          <w:lang w:val="en-US" w:eastAsia="zh-CN"/>
        </w:rPr>
        <w:t>2.4 载波通信功能</w:t>
      </w:r>
    </w:p>
    <w:p>
      <w:pPr>
        <w:numPr>
          <w:ilvl w:val="0"/>
          <w:numId w:val="0"/>
        </w:numPr>
        <w:spacing w:line="360" w:lineRule="auto"/>
        <w:jc w:val="both"/>
        <w:rPr>
          <w:rFonts w:hint="eastAsia" w:ascii="Times New Roman" w:hAnsi="Times New Roman" w:cs="Times New Roman"/>
          <w:b w:val="0"/>
          <w:bCs w:val="0"/>
          <w:sz w:val="24"/>
          <w:szCs w:val="24"/>
          <w:lang w:val="en-US" w:eastAsia="zh-CN"/>
        </w:rPr>
      </w:pPr>
      <w:r>
        <w:rPr>
          <w:rFonts w:hint="eastAsia" w:ascii="Times New Roman" w:hAnsi="Times New Roman" w:cs="Times New Roman"/>
          <w:b w:val="0"/>
          <w:bCs w:val="0"/>
          <w:sz w:val="24"/>
          <w:szCs w:val="24"/>
          <w:lang w:val="en-US" w:eastAsia="zh-CN"/>
        </w:rPr>
        <w:t xml:space="preserve">    通过现有的电力电缆通讯，省去了铺设电缆、架设天线等工作，在节省成本降低工作难度的情况下实现单灯控制。专有的过零双模载波通信技术使载波通信稳定且距离可达1公里以上，加上中继路由技术，直线距离可达6公里以上。</w:t>
      </w:r>
    </w:p>
    <w:p>
      <w:pPr>
        <w:pStyle w:val="4"/>
        <w:bidi w:val="0"/>
        <w:rPr>
          <w:rFonts w:hint="eastAsia"/>
          <w:lang w:val="en-US" w:eastAsia="zh-CN"/>
        </w:rPr>
      </w:pPr>
      <w:r>
        <w:rPr>
          <w:rFonts w:hint="eastAsia"/>
          <w:lang w:val="en-US" w:eastAsia="zh-CN"/>
        </w:rPr>
        <w:t>2.5 支路控制功能</w:t>
      </w:r>
    </w:p>
    <w:p>
      <w:pPr>
        <w:numPr>
          <w:ilvl w:val="0"/>
          <w:numId w:val="0"/>
        </w:numPr>
        <w:spacing w:line="360" w:lineRule="auto"/>
        <w:jc w:val="both"/>
        <w:rPr>
          <w:rFonts w:hint="eastAsia" w:ascii="Times New Roman" w:hAnsi="Times New Roman" w:cs="Times New Roman"/>
          <w:b w:val="0"/>
          <w:bCs w:val="0"/>
          <w:sz w:val="24"/>
          <w:szCs w:val="24"/>
          <w:lang w:val="en-US" w:eastAsia="zh-CN"/>
        </w:rPr>
      </w:pPr>
      <w:r>
        <w:rPr>
          <w:rFonts w:hint="eastAsia" w:ascii="Times New Roman" w:hAnsi="Times New Roman" w:cs="Times New Roman"/>
          <w:b w:val="0"/>
          <w:bCs w:val="0"/>
          <w:sz w:val="24"/>
          <w:szCs w:val="24"/>
          <w:lang w:val="en-US" w:eastAsia="zh-CN"/>
        </w:rPr>
        <w:t xml:space="preserve">    根据客户需求可扩展多路输出。可扩展采集各支路开关状态及电流值。</w:t>
      </w:r>
    </w:p>
    <w:p>
      <w:pPr>
        <w:pStyle w:val="4"/>
        <w:bidi w:val="0"/>
        <w:rPr>
          <w:rFonts w:hint="eastAsia"/>
          <w:lang w:val="en-US" w:eastAsia="zh-CN"/>
        </w:rPr>
      </w:pPr>
      <w:r>
        <w:rPr>
          <w:rFonts w:hint="eastAsia"/>
          <w:lang w:val="en-US" w:eastAsia="zh-CN"/>
        </w:rPr>
        <w:t>2.6 设置功能</w:t>
      </w:r>
    </w:p>
    <w:p>
      <w:pPr>
        <w:numPr>
          <w:ilvl w:val="0"/>
          <w:numId w:val="0"/>
        </w:numPr>
        <w:spacing w:line="360" w:lineRule="auto"/>
        <w:ind w:firstLine="560"/>
        <w:jc w:val="both"/>
        <w:rPr>
          <w:rFonts w:hint="eastAsia" w:ascii="Times New Roman" w:hAnsi="Times New Roman" w:cs="Times New Roman"/>
          <w:b w:val="0"/>
          <w:bCs w:val="0"/>
          <w:sz w:val="24"/>
          <w:szCs w:val="24"/>
          <w:lang w:val="en-US" w:eastAsia="zh-CN"/>
        </w:rPr>
      </w:pPr>
      <w:r>
        <w:rPr>
          <w:rFonts w:hint="eastAsia" w:ascii="Times New Roman" w:hAnsi="Times New Roman" w:cs="Times New Roman"/>
          <w:b w:val="0"/>
          <w:bCs w:val="0"/>
          <w:sz w:val="24"/>
          <w:szCs w:val="24"/>
          <w:lang w:val="en-US" w:eastAsia="zh-CN"/>
        </w:rPr>
        <w:t>可通过远程或本地设置运行参数、自动运行控制方案、开关灯时刻表、单灯运行时刻表、单灯调光运行时刻表、抄表间隔、抄表周期等参数，且具有防止非法授权人员操作和保证数据安全的措施。</w:t>
      </w:r>
    </w:p>
    <w:p>
      <w:pPr>
        <w:pStyle w:val="4"/>
        <w:bidi w:val="0"/>
        <w:rPr>
          <w:rFonts w:hint="eastAsia"/>
          <w:lang w:val="en-US" w:eastAsia="zh-CN"/>
        </w:rPr>
      </w:pPr>
      <w:r>
        <w:rPr>
          <w:rFonts w:hint="eastAsia"/>
          <w:lang w:val="en-US" w:eastAsia="zh-CN"/>
        </w:rPr>
        <w:t>2.7 自诊断和异常信息记录功能</w:t>
      </w:r>
    </w:p>
    <w:p>
      <w:pPr>
        <w:numPr>
          <w:ilvl w:val="0"/>
          <w:numId w:val="0"/>
        </w:numPr>
        <w:spacing w:line="360" w:lineRule="auto"/>
        <w:jc w:val="both"/>
        <w:rPr>
          <w:rFonts w:hint="eastAsia" w:ascii="Times New Roman" w:hAnsi="Times New Roman" w:cs="Times New Roman"/>
          <w:b w:val="0"/>
          <w:bCs w:val="0"/>
          <w:sz w:val="24"/>
          <w:szCs w:val="24"/>
          <w:lang w:val="en-US" w:eastAsia="zh-CN"/>
        </w:rPr>
      </w:pPr>
      <w:r>
        <w:rPr>
          <w:rFonts w:hint="eastAsia" w:ascii="Times New Roman" w:hAnsi="Times New Roman" w:cs="Times New Roman"/>
          <w:b w:val="0"/>
          <w:bCs w:val="0"/>
          <w:sz w:val="24"/>
          <w:szCs w:val="24"/>
          <w:lang w:val="en-US" w:eastAsia="zh-CN"/>
        </w:rPr>
        <w:t xml:space="preserve">   自动进行系统自检，发现设备（包括通信）异常进行事件记录和报警。</w:t>
      </w:r>
    </w:p>
    <w:p>
      <w:pPr>
        <w:pStyle w:val="4"/>
        <w:bidi w:val="0"/>
        <w:rPr>
          <w:rFonts w:hint="eastAsia"/>
          <w:lang w:val="en-US" w:eastAsia="zh-CN"/>
        </w:rPr>
      </w:pPr>
      <w:r>
        <w:rPr>
          <w:rFonts w:hint="eastAsia"/>
          <w:lang w:val="en-US" w:eastAsia="zh-CN"/>
        </w:rPr>
        <w:t>2.8 事件记录</w:t>
      </w:r>
    </w:p>
    <w:p>
      <w:pPr>
        <w:numPr>
          <w:ilvl w:val="0"/>
          <w:numId w:val="0"/>
        </w:numPr>
        <w:spacing w:line="360" w:lineRule="auto"/>
        <w:jc w:val="both"/>
        <w:rPr>
          <w:rFonts w:hint="eastAsia" w:ascii="Times New Roman" w:hAnsi="Times New Roman" w:cs="Times New Roman"/>
          <w:b w:val="0"/>
          <w:bCs w:val="0"/>
          <w:sz w:val="24"/>
          <w:szCs w:val="24"/>
          <w:lang w:val="en-US" w:eastAsia="zh-CN"/>
        </w:rPr>
      </w:pPr>
      <w:r>
        <w:rPr>
          <w:rFonts w:hint="eastAsia" w:ascii="Times New Roman" w:hAnsi="Times New Roman" w:cs="Times New Roman"/>
          <w:b w:val="0"/>
          <w:bCs w:val="0"/>
          <w:sz w:val="24"/>
          <w:szCs w:val="24"/>
          <w:lang w:val="en-US" w:eastAsia="zh-CN"/>
        </w:rPr>
        <w:t xml:space="preserve">    集中器监控终端可根据主站设置的事件属性能长期保存事件记录，以便及时查询。</w:t>
      </w:r>
    </w:p>
    <w:p>
      <w:pPr>
        <w:pStyle w:val="4"/>
        <w:bidi w:val="0"/>
        <w:rPr>
          <w:rFonts w:hint="eastAsia"/>
          <w:lang w:val="en-US" w:eastAsia="zh-CN"/>
        </w:rPr>
      </w:pPr>
      <w:r>
        <w:rPr>
          <w:rFonts w:hint="eastAsia"/>
          <w:lang w:val="en-US" w:eastAsia="zh-CN"/>
        </w:rPr>
        <w:t>2.9 初始化</w:t>
      </w:r>
    </w:p>
    <w:p>
      <w:pPr>
        <w:numPr>
          <w:ilvl w:val="0"/>
          <w:numId w:val="0"/>
        </w:numPr>
        <w:spacing w:line="360" w:lineRule="auto"/>
        <w:ind w:firstLine="560"/>
        <w:jc w:val="both"/>
        <w:rPr>
          <w:rFonts w:hint="eastAsia" w:ascii="Times New Roman" w:hAnsi="Times New Roman" w:cs="Times New Roman"/>
          <w:b w:val="0"/>
          <w:bCs w:val="0"/>
          <w:sz w:val="24"/>
          <w:szCs w:val="24"/>
          <w:lang w:val="en-US" w:eastAsia="zh-CN"/>
        </w:rPr>
      </w:pPr>
      <w:r>
        <w:rPr>
          <w:rFonts w:hint="eastAsia" w:ascii="Times New Roman" w:hAnsi="Times New Roman" w:cs="Times New Roman"/>
          <w:b w:val="0"/>
          <w:bCs w:val="0"/>
          <w:sz w:val="24"/>
          <w:szCs w:val="24"/>
          <w:lang w:val="en-US" w:eastAsia="zh-CN"/>
        </w:rPr>
        <w:t>集中器监控终端接收到主站下发的初始化命令后，分别对硬件、软件、参数区、数据区进行初始化。</w:t>
      </w:r>
    </w:p>
    <w:p>
      <w:pPr>
        <w:pStyle w:val="4"/>
        <w:bidi w:val="0"/>
        <w:rPr>
          <w:rFonts w:hint="eastAsia"/>
          <w:lang w:val="en-US" w:eastAsia="zh-CN"/>
        </w:rPr>
      </w:pPr>
      <w:r>
        <w:rPr>
          <w:rFonts w:hint="eastAsia"/>
          <w:lang w:val="en-US" w:eastAsia="zh-CN"/>
        </w:rPr>
        <w:t>2.10 停电数据保存</w:t>
      </w:r>
    </w:p>
    <w:p>
      <w:pPr>
        <w:numPr>
          <w:ilvl w:val="0"/>
          <w:numId w:val="0"/>
        </w:numPr>
        <w:spacing w:line="360" w:lineRule="auto"/>
        <w:ind w:firstLine="560"/>
        <w:jc w:val="both"/>
        <w:rPr>
          <w:rFonts w:hint="eastAsia" w:ascii="Times New Roman" w:hAnsi="Times New Roman" w:cs="Times New Roman"/>
          <w:b w:val="0"/>
          <w:bCs w:val="0"/>
          <w:sz w:val="24"/>
          <w:szCs w:val="24"/>
          <w:lang w:val="en-US" w:eastAsia="zh-CN"/>
        </w:rPr>
      </w:pPr>
      <w:r>
        <w:rPr>
          <w:rFonts w:hint="eastAsia" w:ascii="Times New Roman" w:hAnsi="Times New Roman" w:cs="Times New Roman"/>
          <w:b w:val="0"/>
          <w:bCs w:val="0"/>
          <w:sz w:val="24"/>
          <w:szCs w:val="24"/>
          <w:lang w:val="en-US" w:eastAsia="zh-CN"/>
        </w:rPr>
        <w:t>终端的供电电源中断后，至少保持数据和时钟一个月以上。电源恢复时，保存数据不丢失，内部时钟正常运行。</w:t>
      </w:r>
    </w:p>
    <w:p>
      <w:pPr>
        <w:pStyle w:val="4"/>
        <w:bidi w:val="0"/>
        <w:rPr>
          <w:rFonts w:hint="eastAsia"/>
          <w:lang w:val="en-US" w:eastAsia="zh-CN"/>
        </w:rPr>
      </w:pPr>
      <w:r>
        <w:rPr>
          <w:rFonts w:hint="eastAsia"/>
          <w:lang w:val="en-US" w:eastAsia="zh-CN"/>
        </w:rPr>
        <w:t>2.11 其他功能</w:t>
      </w:r>
    </w:p>
    <w:p>
      <w:pPr>
        <w:numPr>
          <w:ilvl w:val="0"/>
          <w:numId w:val="0"/>
        </w:numPr>
        <w:spacing w:line="360" w:lineRule="auto"/>
        <w:jc w:val="both"/>
        <w:rPr>
          <w:rFonts w:hint="eastAsia" w:ascii="Times New Roman" w:hAnsi="Times New Roman" w:cs="Times New Roman"/>
          <w:b w:val="0"/>
          <w:bCs w:val="0"/>
          <w:sz w:val="24"/>
          <w:szCs w:val="24"/>
          <w:lang w:val="en-US" w:eastAsia="zh-CN"/>
        </w:rPr>
      </w:pPr>
      <w:r>
        <w:rPr>
          <w:rFonts w:hint="eastAsia" w:ascii="Times New Roman" w:hAnsi="Times New Roman" w:cs="Times New Roman"/>
          <w:b w:val="0"/>
          <w:bCs w:val="0"/>
          <w:sz w:val="24"/>
          <w:szCs w:val="24"/>
          <w:lang w:val="en-US" w:eastAsia="zh-CN"/>
        </w:rPr>
        <w:t xml:space="preserve">    软件远程下载：集中器监控终端软件可通过远程通信信道实现在线软件下载。</w:t>
      </w:r>
    </w:p>
    <w:p>
      <w:pPr>
        <w:pStyle w:val="3"/>
        <w:numPr>
          <w:ilvl w:val="0"/>
          <w:numId w:val="1"/>
        </w:numPr>
        <w:bidi w:val="0"/>
        <w:rPr>
          <w:rFonts w:hint="default"/>
          <w:lang w:val="en-US" w:eastAsia="zh-CN"/>
        </w:rPr>
      </w:pPr>
      <w:r>
        <w:rPr>
          <w:rFonts w:hint="eastAsia"/>
          <w:lang w:val="en-US" w:eastAsia="zh-CN"/>
        </w:rPr>
        <w:t>电气性能</w:t>
      </w:r>
    </w:p>
    <w:p>
      <w:pPr>
        <w:pStyle w:val="4"/>
        <w:bidi w:val="0"/>
        <w:rPr>
          <w:rFonts w:hint="eastAsia"/>
          <w:lang w:val="en-US" w:eastAsia="zh-CN"/>
        </w:rPr>
      </w:pPr>
      <w:r>
        <w:rPr>
          <w:rFonts w:hint="eastAsia"/>
          <w:lang w:val="en-US" w:eastAsia="zh-CN"/>
        </w:rPr>
        <w:t>3.1 供电电源</w:t>
      </w:r>
    </w:p>
    <w:p>
      <w:pPr>
        <w:numPr>
          <w:ilvl w:val="0"/>
          <w:numId w:val="0"/>
        </w:numPr>
        <w:spacing w:line="360" w:lineRule="auto"/>
        <w:ind w:leftChars="0" w:firstLine="560"/>
        <w:jc w:val="both"/>
        <w:rPr>
          <w:rFonts w:hint="eastAsia" w:ascii="Times New Roman" w:hAnsi="Times New Roman" w:cs="Times New Roman"/>
          <w:b w:val="0"/>
          <w:bCs w:val="0"/>
          <w:sz w:val="24"/>
          <w:szCs w:val="24"/>
          <w:lang w:val="en-US" w:eastAsia="zh-CN"/>
        </w:rPr>
      </w:pPr>
      <w:r>
        <w:rPr>
          <w:rFonts w:hint="eastAsia" w:ascii="Times New Roman" w:hAnsi="Times New Roman" w:cs="Times New Roman"/>
          <w:b w:val="0"/>
          <w:bCs w:val="0"/>
          <w:sz w:val="24"/>
          <w:szCs w:val="24"/>
          <w:lang w:val="en-US" w:eastAsia="zh-CN"/>
        </w:rPr>
        <w:t>三相四线供电：A、B、C、N;</w:t>
      </w:r>
    </w:p>
    <w:p>
      <w:pPr>
        <w:numPr>
          <w:ilvl w:val="0"/>
          <w:numId w:val="0"/>
        </w:numPr>
        <w:spacing w:line="360" w:lineRule="auto"/>
        <w:ind w:leftChars="0" w:firstLine="560"/>
        <w:jc w:val="both"/>
        <w:rPr>
          <w:rFonts w:hint="eastAsia" w:ascii="Times New Roman" w:hAnsi="Times New Roman" w:cs="Times New Roman"/>
          <w:b w:val="0"/>
          <w:bCs w:val="0"/>
          <w:sz w:val="24"/>
          <w:szCs w:val="24"/>
          <w:lang w:val="en-US" w:eastAsia="zh-CN"/>
        </w:rPr>
      </w:pPr>
      <w:r>
        <w:rPr>
          <w:rFonts w:hint="eastAsia" w:ascii="Times New Roman" w:hAnsi="Times New Roman" w:cs="Times New Roman"/>
          <w:b w:val="0"/>
          <w:bCs w:val="0"/>
          <w:sz w:val="24"/>
          <w:szCs w:val="24"/>
          <w:lang w:val="en-US" w:eastAsia="zh-CN"/>
        </w:rPr>
        <w:t>供电电压:在额定电压（220V/380V）</w:t>
      </w:r>
      <w:r>
        <w:rPr>
          <w:rFonts w:hint="eastAsia" w:ascii="宋体" w:hAnsi="宋体" w:eastAsia="宋体" w:cs="宋体"/>
          <w:b w:val="0"/>
          <w:bCs w:val="0"/>
          <w:sz w:val="24"/>
          <w:szCs w:val="24"/>
          <w:lang w:val="en-US" w:eastAsia="zh-CN"/>
        </w:rPr>
        <w:t>±</w:t>
      </w:r>
      <w:r>
        <w:rPr>
          <w:rFonts w:hint="eastAsia" w:ascii="Times New Roman" w:hAnsi="Times New Roman" w:cs="Times New Roman"/>
          <w:b w:val="0"/>
          <w:bCs w:val="0"/>
          <w:sz w:val="24"/>
          <w:szCs w:val="24"/>
          <w:lang w:val="en-US" w:eastAsia="zh-CN"/>
        </w:rPr>
        <w:t>20%内能正常工作；</w:t>
      </w:r>
    </w:p>
    <w:p>
      <w:pPr>
        <w:numPr>
          <w:ilvl w:val="0"/>
          <w:numId w:val="0"/>
        </w:numPr>
        <w:spacing w:line="360" w:lineRule="auto"/>
        <w:ind w:leftChars="0" w:firstLine="560"/>
        <w:jc w:val="both"/>
        <w:rPr>
          <w:rFonts w:hint="eastAsia" w:ascii="Calibri" w:hAnsi="Calibri" w:cs="Calibri"/>
          <w:b w:val="0"/>
          <w:bCs w:val="0"/>
          <w:sz w:val="24"/>
          <w:szCs w:val="24"/>
          <w:lang w:val="en-US" w:eastAsia="zh-CN"/>
        </w:rPr>
      </w:pPr>
      <w:r>
        <w:rPr>
          <w:rFonts w:hint="eastAsia" w:ascii="Times New Roman" w:hAnsi="Times New Roman" w:cs="Times New Roman"/>
          <w:b w:val="0"/>
          <w:bCs w:val="0"/>
          <w:sz w:val="24"/>
          <w:szCs w:val="24"/>
          <w:lang w:val="en-US" w:eastAsia="zh-CN"/>
        </w:rPr>
        <w:t>正常工作频率：50Hz 偏差-6%</w:t>
      </w:r>
      <w:r>
        <w:rPr>
          <w:rFonts w:hint="default" w:ascii="Calibri" w:hAnsi="Calibri" w:cs="Calibri"/>
          <w:b w:val="0"/>
          <w:bCs w:val="0"/>
          <w:sz w:val="24"/>
          <w:szCs w:val="24"/>
          <w:lang w:val="en-US" w:eastAsia="zh-CN"/>
        </w:rPr>
        <w:t>~</w:t>
      </w:r>
      <w:r>
        <w:rPr>
          <w:rFonts w:hint="eastAsia" w:ascii="Calibri" w:hAnsi="Calibri" w:cs="Calibri"/>
          <w:b w:val="0"/>
          <w:bCs w:val="0"/>
          <w:sz w:val="24"/>
          <w:szCs w:val="24"/>
          <w:lang w:val="en-US" w:eastAsia="zh-CN"/>
        </w:rPr>
        <w:t>+2%;</w:t>
      </w:r>
    </w:p>
    <w:p>
      <w:pPr>
        <w:numPr>
          <w:ilvl w:val="0"/>
          <w:numId w:val="0"/>
        </w:numPr>
        <w:spacing w:line="360" w:lineRule="auto"/>
        <w:ind w:leftChars="0" w:firstLine="560"/>
        <w:jc w:val="both"/>
        <w:rPr>
          <w:rFonts w:hint="eastAsia" w:ascii="宋体" w:hAnsi="宋体" w:eastAsia="宋体" w:cs="宋体"/>
          <w:b w:val="0"/>
          <w:bCs w:val="0"/>
          <w:sz w:val="24"/>
          <w:szCs w:val="24"/>
          <w:lang w:val="en-US" w:eastAsia="zh-CN"/>
        </w:rPr>
      </w:pPr>
      <w:r>
        <w:rPr>
          <w:rFonts w:hint="eastAsia" w:ascii="Calibri" w:hAnsi="Calibri" w:cs="Calibri"/>
          <w:b w:val="0"/>
          <w:bCs w:val="0"/>
          <w:sz w:val="24"/>
          <w:szCs w:val="24"/>
          <w:lang w:val="en-US" w:eastAsia="zh-CN"/>
        </w:rPr>
        <w:t>视在功率</w:t>
      </w:r>
      <w:r>
        <w:rPr>
          <w:rFonts w:hint="eastAsia" w:ascii="宋体" w:hAnsi="宋体" w:eastAsia="宋体" w:cs="宋体"/>
          <w:b w:val="0"/>
          <w:bCs w:val="0"/>
          <w:sz w:val="24"/>
          <w:szCs w:val="24"/>
          <w:lang w:val="en-US" w:eastAsia="zh-CN"/>
        </w:rPr>
        <w:t>≦</w:t>
      </w:r>
      <w:r>
        <w:rPr>
          <w:rFonts w:hint="eastAsia" w:ascii="Calibri" w:hAnsi="Calibri" w:cs="Calibri"/>
          <w:b w:val="0"/>
          <w:bCs w:val="0"/>
          <w:sz w:val="24"/>
          <w:szCs w:val="24"/>
          <w:lang w:val="en-US" w:eastAsia="zh-CN"/>
        </w:rPr>
        <w:t>15VA,有功功率</w:t>
      </w:r>
      <w:r>
        <w:rPr>
          <w:rFonts w:hint="eastAsia" w:ascii="宋体" w:hAnsi="宋体" w:eastAsia="宋体" w:cs="宋体"/>
          <w:b w:val="0"/>
          <w:bCs w:val="0"/>
          <w:sz w:val="24"/>
          <w:szCs w:val="24"/>
          <w:lang w:val="en-US" w:eastAsia="zh-CN"/>
        </w:rPr>
        <w:t>≦10W。</w:t>
      </w:r>
    </w:p>
    <w:p>
      <w:pPr>
        <w:pStyle w:val="4"/>
        <w:bidi w:val="0"/>
        <w:rPr>
          <w:rFonts w:hint="eastAsia"/>
          <w:lang w:val="en-US" w:eastAsia="zh-CN"/>
        </w:rPr>
      </w:pPr>
      <w:r>
        <w:rPr>
          <w:rFonts w:hint="eastAsia"/>
          <w:lang w:val="en-US" w:eastAsia="zh-CN"/>
        </w:rPr>
        <w:t>3.2  环境条件</w:t>
      </w:r>
    </w:p>
    <w:p>
      <w:pPr>
        <w:numPr>
          <w:ilvl w:val="0"/>
          <w:numId w:val="0"/>
        </w:numPr>
        <w:spacing w:line="360" w:lineRule="auto"/>
        <w:jc w:val="both"/>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 xml:space="preserve">     根据安装场所，温度和湿度条件分为以下三级：</w:t>
      </w:r>
    </w:p>
    <w:p>
      <w:pPr>
        <w:numPr>
          <w:ilvl w:val="0"/>
          <w:numId w:val="0"/>
        </w:numPr>
        <w:spacing w:line="360" w:lineRule="auto"/>
        <w:jc w:val="both"/>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 xml:space="preserve">     机房：温度为+5℃</w:t>
      </w:r>
      <w:r>
        <w:rPr>
          <w:rFonts w:hint="default" w:ascii="Calibri" w:hAnsi="Calibri" w:eastAsia="宋体" w:cs="Calibri"/>
          <w:b w:val="0"/>
          <w:bCs w:val="0"/>
          <w:sz w:val="24"/>
          <w:szCs w:val="24"/>
          <w:lang w:val="en-US" w:eastAsia="zh-CN"/>
        </w:rPr>
        <w:t>~</w:t>
      </w:r>
      <w:r>
        <w:rPr>
          <w:rFonts w:hint="eastAsia" w:ascii="宋体" w:hAnsi="宋体" w:eastAsia="宋体" w:cs="宋体"/>
          <w:b w:val="0"/>
          <w:bCs w:val="0"/>
          <w:sz w:val="24"/>
          <w:szCs w:val="24"/>
          <w:lang w:val="en-US" w:eastAsia="zh-CN"/>
        </w:rPr>
        <w:t>+40℃，相对湿度≦75%</w:t>
      </w:r>
    </w:p>
    <w:p>
      <w:pPr>
        <w:numPr>
          <w:ilvl w:val="0"/>
          <w:numId w:val="0"/>
        </w:numPr>
        <w:spacing w:line="360" w:lineRule="auto"/>
        <w:jc w:val="both"/>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 xml:space="preserve">     户内：温度为-25℃</w:t>
      </w:r>
      <w:r>
        <w:rPr>
          <w:rFonts w:hint="default" w:ascii="Calibri" w:hAnsi="Calibri" w:eastAsia="宋体" w:cs="Calibri"/>
          <w:b w:val="0"/>
          <w:bCs w:val="0"/>
          <w:sz w:val="24"/>
          <w:szCs w:val="24"/>
          <w:lang w:val="en-US" w:eastAsia="zh-CN"/>
        </w:rPr>
        <w:t>~</w:t>
      </w:r>
      <w:r>
        <w:rPr>
          <w:rFonts w:hint="eastAsia" w:ascii="Calibri" w:hAnsi="Calibri" w:eastAsia="宋体" w:cs="Calibri"/>
          <w:b w:val="0"/>
          <w:bCs w:val="0"/>
          <w:sz w:val="24"/>
          <w:szCs w:val="24"/>
          <w:lang w:val="en-US" w:eastAsia="zh-CN"/>
        </w:rPr>
        <w:t>+50</w:t>
      </w:r>
      <w:r>
        <w:rPr>
          <w:rFonts w:hint="eastAsia" w:ascii="宋体" w:hAnsi="宋体" w:eastAsia="宋体" w:cs="宋体"/>
          <w:b w:val="0"/>
          <w:bCs w:val="0"/>
          <w:sz w:val="24"/>
          <w:szCs w:val="24"/>
          <w:lang w:val="en-US" w:eastAsia="zh-CN"/>
        </w:rPr>
        <w:t>℃，相对湿度≦90%</w:t>
      </w:r>
    </w:p>
    <w:p>
      <w:pPr>
        <w:numPr>
          <w:ilvl w:val="0"/>
          <w:numId w:val="0"/>
        </w:numPr>
        <w:spacing w:line="360" w:lineRule="auto"/>
        <w:jc w:val="both"/>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 xml:space="preserve">     户外：温度为-45℃</w:t>
      </w:r>
      <w:r>
        <w:rPr>
          <w:rFonts w:hint="default" w:ascii="Calibri" w:hAnsi="Calibri" w:eastAsia="宋体" w:cs="Calibri"/>
          <w:b w:val="0"/>
          <w:bCs w:val="0"/>
          <w:sz w:val="24"/>
          <w:szCs w:val="24"/>
          <w:lang w:val="en-US" w:eastAsia="zh-CN"/>
        </w:rPr>
        <w:t>~</w:t>
      </w:r>
      <w:r>
        <w:rPr>
          <w:rFonts w:hint="eastAsia" w:ascii="Calibri" w:hAnsi="Calibri" w:eastAsia="宋体" w:cs="Calibri"/>
          <w:b w:val="0"/>
          <w:bCs w:val="0"/>
          <w:sz w:val="24"/>
          <w:szCs w:val="24"/>
          <w:lang w:val="en-US" w:eastAsia="zh-CN"/>
        </w:rPr>
        <w:t>70</w:t>
      </w:r>
      <w:r>
        <w:rPr>
          <w:rFonts w:hint="eastAsia" w:ascii="宋体" w:hAnsi="宋体" w:eastAsia="宋体" w:cs="宋体"/>
          <w:b w:val="0"/>
          <w:bCs w:val="0"/>
          <w:sz w:val="24"/>
          <w:szCs w:val="24"/>
          <w:lang w:val="en-US" w:eastAsia="zh-CN"/>
        </w:rPr>
        <w:t>℃，相对湿度≦95%</w:t>
      </w:r>
    </w:p>
    <w:p>
      <w:pPr>
        <w:pStyle w:val="3"/>
        <w:numPr>
          <w:ilvl w:val="0"/>
          <w:numId w:val="1"/>
        </w:numPr>
        <w:bidi w:val="0"/>
        <w:rPr>
          <w:rFonts w:hint="eastAsia"/>
          <w:lang w:val="en-US" w:eastAsia="zh-CN"/>
        </w:rPr>
      </w:pPr>
      <w:r>
        <w:rPr>
          <w:rFonts w:hint="eastAsia"/>
          <w:lang w:val="en-US" w:eastAsia="zh-CN"/>
        </w:rPr>
        <w:t>安装使用</w:t>
      </w:r>
    </w:p>
    <w:p>
      <w:pPr>
        <w:pStyle w:val="4"/>
        <w:bidi w:val="0"/>
        <w:rPr>
          <w:rFonts w:hint="eastAsia"/>
          <w:lang w:val="en-US" w:eastAsia="zh-CN"/>
        </w:rPr>
      </w:pPr>
      <w:r>
        <w:rPr>
          <w:rFonts w:hint="eastAsia"/>
          <w:lang w:val="en-US" w:eastAsia="zh-CN"/>
        </w:rPr>
        <w:t>4.1 路灯物联数据集中器终端正面图</w:t>
      </w:r>
    </w:p>
    <w:p>
      <w:pPr>
        <w:rPr>
          <w:rFonts w:hint="default"/>
          <w:lang w:val="en-US" w:eastAsia="zh-CN"/>
        </w:rPr>
      </w:pPr>
    </w:p>
    <w:p>
      <w:pPr>
        <w:numPr>
          <w:ilvl w:val="0"/>
          <w:numId w:val="0"/>
        </w:numPr>
        <w:spacing w:line="360" w:lineRule="auto"/>
        <w:jc w:val="center"/>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drawing>
          <wp:inline distT="0" distB="0" distL="114300" distR="114300">
            <wp:extent cx="1689100" cy="2256155"/>
            <wp:effectExtent l="0" t="0" r="6350" b="10795"/>
            <wp:docPr id="1" name="图片 1" descr="c59ba35001f8436a528a9f304e19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59ba35001f8436a528a9f304e19165"/>
                    <pic:cNvPicPr>
                      <a:picLocks noChangeAspect="1"/>
                    </pic:cNvPicPr>
                  </pic:nvPicPr>
                  <pic:blipFill>
                    <a:blip r:embed="rId4"/>
                    <a:stretch>
                      <a:fillRect/>
                    </a:stretch>
                  </pic:blipFill>
                  <pic:spPr>
                    <a:xfrm>
                      <a:off x="0" y="0"/>
                      <a:ext cx="1689100" cy="2256155"/>
                    </a:xfrm>
                    <a:prstGeom prst="rect">
                      <a:avLst/>
                    </a:prstGeom>
                  </pic:spPr>
                </pic:pic>
              </a:graphicData>
            </a:graphic>
          </wp:inline>
        </w:drawing>
      </w:r>
      <w:bookmarkStart w:id="0" w:name="_GoBack"/>
      <w:bookmarkEnd w:id="0"/>
    </w:p>
    <w:p>
      <w:pPr>
        <w:numPr>
          <w:ilvl w:val="0"/>
          <w:numId w:val="0"/>
        </w:numPr>
        <w:spacing w:line="360" w:lineRule="auto"/>
        <w:jc w:val="both"/>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电源指示PWR:正常上电常亮，标志集中器是否加电。</w:t>
      </w:r>
    </w:p>
    <w:p>
      <w:pPr>
        <w:numPr>
          <w:ilvl w:val="0"/>
          <w:numId w:val="0"/>
        </w:numPr>
        <w:spacing w:line="360" w:lineRule="auto"/>
        <w:jc w:val="both"/>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LINK指示灯：常亮，标识集中器通讯模块已上线。</w:t>
      </w:r>
    </w:p>
    <w:p>
      <w:pPr>
        <w:numPr>
          <w:ilvl w:val="0"/>
          <w:numId w:val="0"/>
        </w:numPr>
        <w:spacing w:line="360" w:lineRule="auto"/>
        <w:jc w:val="both"/>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NET指示灯：驻网时，该指示灯开始闪烁。</w:t>
      </w:r>
    </w:p>
    <w:p>
      <w:pPr>
        <w:numPr>
          <w:ilvl w:val="0"/>
          <w:numId w:val="0"/>
        </w:numPr>
        <w:spacing w:line="360" w:lineRule="auto"/>
        <w:jc w:val="both"/>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载波指示灯：当载波信道有通信发生时闪亮，红色表示发送数据，绿色表示接受数据。</w:t>
      </w:r>
    </w:p>
    <w:p>
      <w:pPr>
        <w:numPr>
          <w:ilvl w:val="0"/>
          <w:numId w:val="0"/>
        </w:numPr>
        <w:spacing w:line="360" w:lineRule="auto"/>
        <w:jc w:val="both"/>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SIM卡：打开SIM卡盖，可以更换、安装SIM卡。</w:t>
      </w:r>
    </w:p>
    <w:p>
      <w:pPr>
        <w:numPr>
          <w:ilvl w:val="0"/>
          <w:numId w:val="0"/>
        </w:numPr>
        <w:spacing w:line="360" w:lineRule="auto"/>
        <w:jc w:val="both"/>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按键液晶显示：操作按键（上、下、左、右、确认、取消）对应着相应的液晶显示，可实现本地操作及信息查询等。</w:t>
      </w:r>
    </w:p>
    <w:p>
      <w:pPr>
        <w:pStyle w:val="4"/>
        <w:bidi w:val="0"/>
        <w:rPr>
          <w:rFonts w:hint="eastAsia"/>
          <w:lang w:val="en-US" w:eastAsia="zh-CN"/>
        </w:rPr>
      </w:pPr>
      <w:r>
        <w:rPr>
          <w:rFonts w:hint="eastAsia"/>
          <w:lang w:val="en-US" w:eastAsia="zh-CN"/>
        </w:rPr>
        <w:t>4.2 接线端子定义表：</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6"/>
        <w:gridCol w:w="3195"/>
        <w:gridCol w:w="870"/>
        <w:gridCol w:w="35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Align w:val="center"/>
          </w:tcPr>
          <w:p>
            <w:pPr>
              <w:numPr>
                <w:ilvl w:val="0"/>
                <w:numId w:val="0"/>
              </w:numPr>
              <w:spacing w:line="360" w:lineRule="auto"/>
              <w:jc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端子序号</w:t>
            </w:r>
          </w:p>
        </w:tc>
        <w:tc>
          <w:tcPr>
            <w:tcW w:w="3195" w:type="dxa"/>
            <w:vAlign w:val="center"/>
          </w:tcPr>
          <w:p>
            <w:pPr>
              <w:numPr>
                <w:ilvl w:val="0"/>
                <w:numId w:val="0"/>
              </w:numPr>
              <w:spacing w:line="360" w:lineRule="auto"/>
              <w:jc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说明</w:t>
            </w:r>
          </w:p>
        </w:tc>
        <w:tc>
          <w:tcPr>
            <w:tcW w:w="870" w:type="dxa"/>
            <w:vAlign w:val="center"/>
          </w:tcPr>
          <w:p>
            <w:pPr>
              <w:numPr>
                <w:ilvl w:val="0"/>
                <w:numId w:val="0"/>
              </w:numPr>
              <w:spacing w:line="360" w:lineRule="auto"/>
              <w:jc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端子序号</w:t>
            </w:r>
          </w:p>
        </w:tc>
        <w:tc>
          <w:tcPr>
            <w:tcW w:w="3511" w:type="dxa"/>
            <w:vAlign w:val="center"/>
          </w:tcPr>
          <w:p>
            <w:pPr>
              <w:numPr>
                <w:ilvl w:val="0"/>
                <w:numId w:val="0"/>
              </w:numPr>
              <w:spacing w:line="360" w:lineRule="auto"/>
              <w:jc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tcPr>
          <w:p>
            <w:pPr>
              <w:numPr>
                <w:ilvl w:val="0"/>
                <w:numId w:val="0"/>
              </w:numPr>
              <w:spacing w:line="360" w:lineRule="auto"/>
              <w:jc w:val="both"/>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1</w:t>
            </w:r>
          </w:p>
        </w:tc>
        <w:tc>
          <w:tcPr>
            <w:tcW w:w="3195" w:type="dxa"/>
          </w:tcPr>
          <w:p>
            <w:pPr>
              <w:numPr>
                <w:ilvl w:val="0"/>
                <w:numId w:val="0"/>
              </w:numPr>
              <w:spacing w:line="360" w:lineRule="auto"/>
              <w:jc w:val="both"/>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N（零线）</w:t>
            </w:r>
          </w:p>
        </w:tc>
        <w:tc>
          <w:tcPr>
            <w:tcW w:w="870" w:type="dxa"/>
          </w:tcPr>
          <w:p>
            <w:pPr>
              <w:numPr>
                <w:ilvl w:val="0"/>
                <w:numId w:val="0"/>
              </w:numPr>
              <w:spacing w:line="360" w:lineRule="auto"/>
              <w:jc w:val="both"/>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16</w:t>
            </w:r>
          </w:p>
        </w:tc>
        <w:tc>
          <w:tcPr>
            <w:tcW w:w="3511" w:type="dxa"/>
          </w:tcPr>
          <w:p>
            <w:pPr>
              <w:numPr>
                <w:ilvl w:val="0"/>
                <w:numId w:val="0"/>
              </w:numPr>
              <w:spacing w:line="360" w:lineRule="auto"/>
              <w:jc w:val="both"/>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开关量输入4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tcPr>
          <w:p>
            <w:pPr>
              <w:numPr>
                <w:ilvl w:val="0"/>
                <w:numId w:val="0"/>
              </w:numPr>
              <w:spacing w:line="360" w:lineRule="auto"/>
              <w:jc w:val="both"/>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2</w:t>
            </w:r>
          </w:p>
        </w:tc>
        <w:tc>
          <w:tcPr>
            <w:tcW w:w="3195" w:type="dxa"/>
          </w:tcPr>
          <w:p>
            <w:pPr>
              <w:numPr>
                <w:ilvl w:val="0"/>
                <w:numId w:val="0"/>
              </w:numPr>
              <w:spacing w:line="360" w:lineRule="auto"/>
              <w:jc w:val="both"/>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Ua（A相电压输入）</w:t>
            </w:r>
          </w:p>
        </w:tc>
        <w:tc>
          <w:tcPr>
            <w:tcW w:w="870" w:type="dxa"/>
          </w:tcPr>
          <w:p>
            <w:pPr>
              <w:numPr>
                <w:ilvl w:val="0"/>
                <w:numId w:val="0"/>
              </w:numPr>
              <w:spacing w:line="360" w:lineRule="auto"/>
              <w:jc w:val="both"/>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17</w:t>
            </w:r>
          </w:p>
        </w:tc>
        <w:tc>
          <w:tcPr>
            <w:tcW w:w="3511" w:type="dxa"/>
          </w:tcPr>
          <w:p>
            <w:pPr>
              <w:numPr>
                <w:ilvl w:val="0"/>
                <w:numId w:val="0"/>
              </w:numPr>
              <w:spacing w:line="360" w:lineRule="auto"/>
              <w:jc w:val="both"/>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开关量输入5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tcPr>
          <w:p>
            <w:pPr>
              <w:numPr>
                <w:ilvl w:val="0"/>
                <w:numId w:val="0"/>
              </w:numPr>
              <w:spacing w:line="360" w:lineRule="auto"/>
              <w:jc w:val="both"/>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3</w:t>
            </w:r>
          </w:p>
        </w:tc>
        <w:tc>
          <w:tcPr>
            <w:tcW w:w="3195" w:type="dxa"/>
          </w:tcPr>
          <w:p>
            <w:pPr>
              <w:numPr>
                <w:ilvl w:val="0"/>
                <w:numId w:val="0"/>
              </w:numPr>
              <w:spacing w:line="360" w:lineRule="auto"/>
              <w:jc w:val="both"/>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Ub（B相电压输入）</w:t>
            </w:r>
          </w:p>
        </w:tc>
        <w:tc>
          <w:tcPr>
            <w:tcW w:w="870" w:type="dxa"/>
          </w:tcPr>
          <w:p>
            <w:pPr>
              <w:numPr>
                <w:ilvl w:val="0"/>
                <w:numId w:val="0"/>
              </w:numPr>
              <w:spacing w:line="360" w:lineRule="auto"/>
              <w:jc w:val="both"/>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18</w:t>
            </w:r>
          </w:p>
        </w:tc>
        <w:tc>
          <w:tcPr>
            <w:tcW w:w="3511" w:type="dxa"/>
          </w:tcPr>
          <w:p>
            <w:pPr>
              <w:numPr>
                <w:ilvl w:val="0"/>
                <w:numId w:val="0"/>
              </w:numPr>
              <w:spacing w:line="360" w:lineRule="auto"/>
              <w:jc w:val="both"/>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开关量输入6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tcPr>
          <w:p>
            <w:pPr>
              <w:numPr>
                <w:ilvl w:val="0"/>
                <w:numId w:val="0"/>
              </w:numPr>
              <w:spacing w:line="360" w:lineRule="auto"/>
              <w:jc w:val="both"/>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4</w:t>
            </w:r>
          </w:p>
        </w:tc>
        <w:tc>
          <w:tcPr>
            <w:tcW w:w="3195" w:type="dxa"/>
          </w:tcPr>
          <w:p>
            <w:pPr>
              <w:numPr>
                <w:ilvl w:val="0"/>
                <w:numId w:val="0"/>
              </w:numPr>
              <w:spacing w:line="360" w:lineRule="auto"/>
              <w:jc w:val="both"/>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Uc（C相电压输入）</w:t>
            </w:r>
          </w:p>
        </w:tc>
        <w:tc>
          <w:tcPr>
            <w:tcW w:w="870" w:type="dxa"/>
          </w:tcPr>
          <w:p>
            <w:pPr>
              <w:numPr>
                <w:ilvl w:val="0"/>
                <w:numId w:val="0"/>
              </w:numPr>
              <w:spacing w:line="360" w:lineRule="auto"/>
              <w:jc w:val="both"/>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19</w:t>
            </w:r>
          </w:p>
        </w:tc>
        <w:tc>
          <w:tcPr>
            <w:tcW w:w="3511" w:type="dxa"/>
          </w:tcPr>
          <w:p>
            <w:pPr>
              <w:numPr>
                <w:ilvl w:val="0"/>
                <w:numId w:val="0"/>
              </w:numPr>
              <w:spacing w:line="360" w:lineRule="auto"/>
              <w:jc w:val="both"/>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开关量输入7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tcPr>
          <w:p>
            <w:pPr>
              <w:numPr>
                <w:ilvl w:val="0"/>
                <w:numId w:val="0"/>
              </w:numPr>
              <w:spacing w:line="360" w:lineRule="auto"/>
              <w:jc w:val="both"/>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5</w:t>
            </w:r>
          </w:p>
        </w:tc>
        <w:tc>
          <w:tcPr>
            <w:tcW w:w="3195" w:type="dxa"/>
          </w:tcPr>
          <w:p>
            <w:pPr>
              <w:numPr>
                <w:ilvl w:val="0"/>
                <w:numId w:val="0"/>
              </w:numPr>
              <w:spacing w:line="360" w:lineRule="auto"/>
              <w:jc w:val="both"/>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继电器输出1</w:t>
            </w:r>
          </w:p>
        </w:tc>
        <w:tc>
          <w:tcPr>
            <w:tcW w:w="870" w:type="dxa"/>
          </w:tcPr>
          <w:p>
            <w:pPr>
              <w:numPr>
                <w:ilvl w:val="0"/>
                <w:numId w:val="0"/>
              </w:numPr>
              <w:spacing w:line="360" w:lineRule="auto"/>
              <w:jc w:val="both"/>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20</w:t>
            </w:r>
          </w:p>
        </w:tc>
        <w:tc>
          <w:tcPr>
            <w:tcW w:w="3511" w:type="dxa"/>
          </w:tcPr>
          <w:p>
            <w:pPr>
              <w:numPr>
                <w:ilvl w:val="0"/>
                <w:numId w:val="0"/>
              </w:numPr>
              <w:spacing w:line="360" w:lineRule="auto"/>
              <w:jc w:val="both"/>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开关量输入8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tcPr>
          <w:p>
            <w:pPr>
              <w:numPr>
                <w:ilvl w:val="0"/>
                <w:numId w:val="0"/>
              </w:numPr>
              <w:spacing w:line="360" w:lineRule="auto"/>
              <w:jc w:val="both"/>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6</w:t>
            </w:r>
          </w:p>
        </w:tc>
        <w:tc>
          <w:tcPr>
            <w:tcW w:w="3195" w:type="dxa"/>
          </w:tcPr>
          <w:p>
            <w:pPr>
              <w:numPr>
                <w:ilvl w:val="0"/>
                <w:numId w:val="0"/>
              </w:numPr>
              <w:spacing w:line="360" w:lineRule="auto"/>
              <w:jc w:val="both"/>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继电器输出2</w:t>
            </w:r>
          </w:p>
        </w:tc>
        <w:tc>
          <w:tcPr>
            <w:tcW w:w="870" w:type="dxa"/>
          </w:tcPr>
          <w:p>
            <w:pPr>
              <w:numPr>
                <w:ilvl w:val="0"/>
                <w:numId w:val="0"/>
              </w:numPr>
              <w:spacing w:line="360" w:lineRule="auto"/>
              <w:jc w:val="both"/>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21</w:t>
            </w:r>
          </w:p>
        </w:tc>
        <w:tc>
          <w:tcPr>
            <w:tcW w:w="3511" w:type="dxa"/>
          </w:tcPr>
          <w:p>
            <w:pPr>
              <w:numPr>
                <w:ilvl w:val="0"/>
                <w:numId w:val="0"/>
              </w:numPr>
              <w:spacing w:line="360" w:lineRule="auto"/>
              <w:jc w:val="both"/>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数字地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tcPr>
          <w:p>
            <w:pPr>
              <w:numPr>
                <w:ilvl w:val="0"/>
                <w:numId w:val="0"/>
              </w:numPr>
              <w:spacing w:line="360" w:lineRule="auto"/>
              <w:jc w:val="both"/>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7</w:t>
            </w:r>
          </w:p>
        </w:tc>
        <w:tc>
          <w:tcPr>
            <w:tcW w:w="3195" w:type="dxa"/>
          </w:tcPr>
          <w:p>
            <w:pPr>
              <w:numPr>
                <w:ilvl w:val="0"/>
                <w:numId w:val="0"/>
              </w:numPr>
              <w:spacing w:line="360" w:lineRule="auto"/>
              <w:jc w:val="both"/>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继电器输出3</w:t>
            </w:r>
          </w:p>
        </w:tc>
        <w:tc>
          <w:tcPr>
            <w:tcW w:w="870" w:type="dxa"/>
          </w:tcPr>
          <w:p>
            <w:pPr>
              <w:numPr>
                <w:ilvl w:val="0"/>
                <w:numId w:val="0"/>
              </w:numPr>
              <w:spacing w:line="360" w:lineRule="auto"/>
              <w:jc w:val="both"/>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22</w:t>
            </w:r>
          </w:p>
        </w:tc>
        <w:tc>
          <w:tcPr>
            <w:tcW w:w="3511" w:type="dxa"/>
          </w:tcPr>
          <w:p>
            <w:pPr>
              <w:numPr>
                <w:ilvl w:val="0"/>
                <w:numId w:val="0"/>
              </w:numPr>
              <w:spacing w:line="360" w:lineRule="auto"/>
              <w:jc w:val="both"/>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抄表线RS485A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tcPr>
          <w:p>
            <w:pPr>
              <w:numPr>
                <w:ilvl w:val="0"/>
                <w:numId w:val="0"/>
              </w:numPr>
              <w:spacing w:line="360" w:lineRule="auto"/>
              <w:jc w:val="both"/>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8</w:t>
            </w:r>
          </w:p>
        </w:tc>
        <w:tc>
          <w:tcPr>
            <w:tcW w:w="3195" w:type="dxa"/>
          </w:tcPr>
          <w:p>
            <w:pPr>
              <w:numPr>
                <w:ilvl w:val="0"/>
                <w:numId w:val="0"/>
              </w:numPr>
              <w:spacing w:line="360" w:lineRule="auto"/>
              <w:jc w:val="both"/>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继电器输出4</w:t>
            </w:r>
          </w:p>
        </w:tc>
        <w:tc>
          <w:tcPr>
            <w:tcW w:w="870" w:type="dxa"/>
          </w:tcPr>
          <w:p>
            <w:pPr>
              <w:numPr>
                <w:ilvl w:val="0"/>
                <w:numId w:val="0"/>
              </w:numPr>
              <w:spacing w:line="360" w:lineRule="auto"/>
              <w:jc w:val="both"/>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23</w:t>
            </w:r>
          </w:p>
        </w:tc>
        <w:tc>
          <w:tcPr>
            <w:tcW w:w="3511" w:type="dxa"/>
          </w:tcPr>
          <w:p>
            <w:pPr>
              <w:numPr>
                <w:ilvl w:val="0"/>
                <w:numId w:val="0"/>
              </w:numPr>
              <w:spacing w:line="360" w:lineRule="auto"/>
              <w:jc w:val="both"/>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抄表线RS485B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tcPr>
          <w:p>
            <w:pPr>
              <w:numPr>
                <w:ilvl w:val="0"/>
                <w:numId w:val="0"/>
              </w:numPr>
              <w:spacing w:line="360" w:lineRule="auto"/>
              <w:jc w:val="both"/>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9</w:t>
            </w:r>
          </w:p>
        </w:tc>
        <w:tc>
          <w:tcPr>
            <w:tcW w:w="3195" w:type="dxa"/>
          </w:tcPr>
          <w:p>
            <w:pPr>
              <w:numPr>
                <w:ilvl w:val="0"/>
                <w:numId w:val="0"/>
              </w:numPr>
              <w:spacing w:line="360" w:lineRule="auto"/>
              <w:jc w:val="both"/>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Ia（互感器二次侧A相总电流检测）</w:t>
            </w:r>
          </w:p>
        </w:tc>
        <w:tc>
          <w:tcPr>
            <w:tcW w:w="870" w:type="dxa"/>
          </w:tcPr>
          <w:p>
            <w:pPr>
              <w:numPr>
                <w:ilvl w:val="0"/>
                <w:numId w:val="0"/>
              </w:numPr>
              <w:spacing w:line="360" w:lineRule="auto"/>
              <w:jc w:val="both"/>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24</w:t>
            </w:r>
          </w:p>
        </w:tc>
        <w:tc>
          <w:tcPr>
            <w:tcW w:w="3511" w:type="dxa"/>
          </w:tcPr>
          <w:p>
            <w:pPr>
              <w:numPr>
                <w:ilvl w:val="0"/>
                <w:numId w:val="0"/>
              </w:numPr>
              <w:spacing w:line="360" w:lineRule="auto"/>
              <w:jc w:val="both"/>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数字地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tcPr>
          <w:p>
            <w:pPr>
              <w:numPr>
                <w:ilvl w:val="0"/>
                <w:numId w:val="0"/>
              </w:numPr>
              <w:spacing w:line="360" w:lineRule="auto"/>
              <w:jc w:val="both"/>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10</w:t>
            </w:r>
          </w:p>
        </w:tc>
        <w:tc>
          <w:tcPr>
            <w:tcW w:w="3195" w:type="dxa"/>
          </w:tcPr>
          <w:p>
            <w:pPr>
              <w:numPr>
                <w:ilvl w:val="0"/>
                <w:numId w:val="0"/>
              </w:numPr>
              <w:spacing w:line="360" w:lineRule="auto"/>
              <w:jc w:val="both"/>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Ib（互感器二次侧B相总电流检测）</w:t>
            </w:r>
          </w:p>
        </w:tc>
        <w:tc>
          <w:tcPr>
            <w:tcW w:w="870" w:type="dxa"/>
          </w:tcPr>
          <w:p>
            <w:pPr>
              <w:numPr>
                <w:ilvl w:val="0"/>
                <w:numId w:val="0"/>
              </w:numPr>
              <w:spacing w:line="360" w:lineRule="auto"/>
              <w:jc w:val="both"/>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25</w:t>
            </w:r>
          </w:p>
        </w:tc>
        <w:tc>
          <w:tcPr>
            <w:tcW w:w="3511" w:type="dxa"/>
          </w:tcPr>
          <w:p>
            <w:pPr>
              <w:numPr>
                <w:ilvl w:val="0"/>
                <w:numId w:val="0"/>
              </w:numPr>
              <w:spacing w:line="360" w:lineRule="auto"/>
              <w:jc w:val="both"/>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电流模块检测扩展485A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tcPr>
          <w:p>
            <w:pPr>
              <w:numPr>
                <w:ilvl w:val="0"/>
                <w:numId w:val="0"/>
              </w:numPr>
              <w:spacing w:line="360" w:lineRule="auto"/>
              <w:jc w:val="both"/>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11</w:t>
            </w:r>
          </w:p>
        </w:tc>
        <w:tc>
          <w:tcPr>
            <w:tcW w:w="3195" w:type="dxa"/>
          </w:tcPr>
          <w:p>
            <w:pPr>
              <w:numPr>
                <w:ilvl w:val="0"/>
                <w:numId w:val="0"/>
              </w:numPr>
              <w:spacing w:line="360" w:lineRule="auto"/>
              <w:jc w:val="both"/>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Ic（互感器二次侧C相总电流检测）</w:t>
            </w:r>
          </w:p>
        </w:tc>
        <w:tc>
          <w:tcPr>
            <w:tcW w:w="870" w:type="dxa"/>
          </w:tcPr>
          <w:p>
            <w:pPr>
              <w:numPr>
                <w:ilvl w:val="0"/>
                <w:numId w:val="0"/>
              </w:numPr>
              <w:spacing w:line="360" w:lineRule="auto"/>
              <w:jc w:val="both"/>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26</w:t>
            </w:r>
          </w:p>
        </w:tc>
        <w:tc>
          <w:tcPr>
            <w:tcW w:w="3511" w:type="dxa"/>
          </w:tcPr>
          <w:p>
            <w:pPr>
              <w:numPr>
                <w:ilvl w:val="0"/>
                <w:numId w:val="0"/>
              </w:numPr>
              <w:spacing w:line="360" w:lineRule="auto"/>
              <w:jc w:val="both"/>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电流模块检测扩展485B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tcPr>
          <w:p>
            <w:pPr>
              <w:numPr>
                <w:ilvl w:val="0"/>
                <w:numId w:val="0"/>
              </w:numPr>
              <w:spacing w:line="360" w:lineRule="auto"/>
              <w:jc w:val="both"/>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12</w:t>
            </w:r>
          </w:p>
        </w:tc>
        <w:tc>
          <w:tcPr>
            <w:tcW w:w="3195" w:type="dxa"/>
          </w:tcPr>
          <w:p>
            <w:pPr>
              <w:numPr>
                <w:ilvl w:val="0"/>
                <w:numId w:val="0"/>
              </w:numPr>
              <w:spacing w:line="360" w:lineRule="auto"/>
              <w:jc w:val="both"/>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Icom（总电流检测公共端）</w:t>
            </w:r>
          </w:p>
        </w:tc>
        <w:tc>
          <w:tcPr>
            <w:tcW w:w="870" w:type="dxa"/>
          </w:tcPr>
          <w:p>
            <w:pPr>
              <w:numPr>
                <w:ilvl w:val="0"/>
                <w:numId w:val="0"/>
              </w:numPr>
              <w:spacing w:line="360" w:lineRule="auto"/>
              <w:jc w:val="both"/>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27</w:t>
            </w:r>
          </w:p>
        </w:tc>
        <w:tc>
          <w:tcPr>
            <w:tcW w:w="3511" w:type="dxa"/>
          </w:tcPr>
          <w:p>
            <w:pPr>
              <w:numPr>
                <w:ilvl w:val="0"/>
                <w:numId w:val="0"/>
              </w:numPr>
              <w:spacing w:line="360" w:lineRule="auto"/>
              <w:jc w:val="both"/>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数字地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tcPr>
          <w:p>
            <w:pPr>
              <w:numPr>
                <w:ilvl w:val="0"/>
                <w:numId w:val="0"/>
              </w:numPr>
              <w:spacing w:line="360" w:lineRule="auto"/>
              <w:jc w:val="both"/>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13</w:t>
            </w:r>
          </w:p>
        </w:tc>
        <w:tc>
          <w:tcPr>
            <w:tcW w:w="3195" w:type="dxa"/>
          </w:tcPr>
          <w:p>
            <w:pPr>
              <w:numPr>
                <w:ilvl w:val="0"/>
                <w:numId w:val="0"/>
              </w:numPr>
              <w:spacing w:line="360" w:lineRule="auto"/>
              <w:jc w:val="both"/>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开关量输入1</w:t>
            </w:r>
          </w:p>
        </w:tc>
        <w:tc>
          <w:tcPr>
            <w:tcW w:w="870" w:type="dxa"/>
          </w:tcPr>
          <w:p>
            <w:pPr>
              <w:numPr>
                <w:ilvl w:val="0"/>
                <w:numId w:val="0"/>
              </w:numPr>
              <w:spacing w:line="360" w:lineRule="auto"/>
              <w:jc w:val="both"/>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28</w:t>
            </w:r>
          </w:p>
        </w:tc>
        <w:tc>
          <w:tcPr>
            <w:tcW w:w="3511" w:type="dxa"/>
          </w:tcPr>
          <w:p>
            <w:pPr>
              <w:numPr>
                <w:ilvl w:val="0"/>
                <w:numId w:val="0"/>
              </w:numPr>
              <w:spacing w:line="360" w:lineRule="auto"/>
              <w:jc w:val="both"/>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+12V输出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tcPr>
          <w:p>
            <w:pPr>
              <w:numPr>
                <w:ilvl w:val="0"/>
                <w:numId w:val="0"/>
              </w:numPr>
              <w:spacing w:line="360" w:lineRule="auto"/>
              <w:jc w:val="both"/>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14</w:t>
            </w:r>
          </w:p>
        </w:tc>
        <w:tc>
          <w:tcPr>
            <w:tcW w:w="3195" w:type="dxa"/>
          </w:tcPr>
          <w:p>
            <w:pPr>
              <w:numPr>
                <w:ilvl w:val="0"/>
                <w:numId w:val="0"/>
              </w:numPr>
              <w:spacing w:line="360" w:lineRule="auto"/>
              <w:jc w:val="both"/>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开关量输入2</w:t>
            </w:r>
          </w:p>
        </w:tc>
        <w:tc>
          <w:tcPr>
            <w:tcW w:w="870" w:type="dxa"/>
          </w:tcPr>
          <w:p>
            <w:pPr>
              <w:numPr>
                <w:ilvl w:val="0"/>
                <w:numId w:val="0"/>
              </w:numPr>
              <w:spacing w:line="360" w:lineRule="auto"/>
              <w:jc w:val="both"/>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29</w:t>
            </w:r>
          </w:p>
        </w:tc>
        <w:tc>
          <w:tcPr>
            <w:tcW w:w="3511" w:type="dxa"/>
          </w:tcPr>
          <w:p>
            <w:pPr>
              <w:numPr>
                <w:ilvl w:val="0"/>
                <w:numId w:val="0"/>
              </w:numPr>
              <w:spacing w:line="360" w:lineRule="auto"/>
              <w:jc w:val="both"/>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备用充电12电池正极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tcPr>
          <w:p>
            <w:pPr>
              <w:numPr>
                <w:ilvl w:val="0"/>
                <w:numId w:val="0"/>
              </w:numPr>
              <w:spacing w:line="360" w:lineRule="auto"/>
              <w:jc w:val="both"/>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15</w:t>
            </w:r>
          </w:p>
        </w:tc>
        <w:tc>
          <w:tcPr>
            <w:tcW w:w="3195" w:type="dxa"/>
          </w:tcPr>
          <w:p>
            <w:pPr>
              <w:numPr>
                <w:ilvl w:val="0"/>
                <w:numId w:val="0"/>
              </w:numPr>
              <w:spacing w:line="360" w:lineRule="auto"/>
              <w:jc w:val="both"/>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开关量输入3</w:t>
            </w:r>
          </w:p>
        </w:tc>
        <w:tc>
          <w:tcPr>
            <w:tcW w:w="870" w:type="dxa"/>
          </w:tcPr>
          <w:p>
            <w:pPr>
              <w:numPr>
                <w:ilvl w:val="0"/>
                <w:numId w:val="0"/>
              </w:numPr>
              <w:spacing w:line="360" w:lineRule="auto"/>
              <w:jc w:val="both"/>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30</w:t>
            </w:r>
          </w:p>
        </w:tc>
        <w:tc>
          <w:tcPr>
            <w:tcW w:w="3511" w:type="dxa"/>
          </w:tcPr>
          <w:p>
            <w:pPr>
              <w:numPr>
                <w:ilvl w:val="0"/>
                <w:numId w:val="0"/>
              </w:numPr>
              <w:spacing w:line="360" w:lineRule="auto"/>
              <w:jc w:val="both"/>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备用充电12电池负极</w:t>
            </w:r>
          </w:p>
        </w:tc>
      </w:tr>
    </w:tbl>
    <w:p>
      <w:pPr>
        <w:numPr>
          <w:ilvl w:val="0"/>
          <w:numId w:val="0"/>
        </w:numPr>
        <w:spacing w:line="360" w:lineRule="auto"/>
        <w:jc w:val="both"/>
        <w:rPr>
          <w:rFonts w:hint="eastAsia" w:ascii="宋体" w:hAnsi="宋体" w:eastAsia="宋体" w:cs="宋体"/>
          <w:b w:val="0"/>
          <w:bCs w:val="0"/>
          <w:sz w:val="24"/>
          <w:szCs w:val="24"/>
          <w:lang w:val="en-US" w:eastAsia="zh-CN"/>
        </w:rPr>
      </w:pPr>
    </w:p>
    <w:p>
      <w:pPr>
        <w:pStyle w:val="4"/>
        <w:bidi w:val="0"/>
        <w:rPr>
          <w:rFonts w:hint="eastAsia"/>
          <w:lang w:val="en-US" w:eastAsia="zh-CN"/>
        </w:rPr>
      </w:pPr>
      <w:r>
        <w:rPr>
          <w:rFonts w:hint="eastAsia"/>
          <w:lang w:val="en-US" w:eastAsia="zh-CN"/>
        </w:rPr>
        <w:t>4.3 、安装步骤</w:t>
      </w:r>
    </w:p>
    <w:p>
      <w:pPr>
        <w:numPr>
          <w:ilvl w:val="0"/>
          <w:numId w:val="0"/>
        </w:numPr>
        <w:spacing w:line="360" w:lineRule="auto"/>
        <w:jc w:val="both"/>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a) 断开电源</w:t>
      </w:r>
    </w:p>
    <w:p>
      <w:pPr>
        <w:numPr>
          <w:ilvl w:val="0"/>
          <w:numId w:val="0"/>
        </w:numPr>
        <w:spacing w:line="360" w:lineRule="auto"/>
        <w:jc w:val="both"/>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b）打开接线柱盒，固定现场安装的集中器。</w:t>
      </w:r>
    </w:p>
    <w:p>
      <w:pPr>
        <w:numPr>
          <w:ilvl w:val="0"/>
          <w:numId w:val="0"/>
        </w:numPr>
        <w:spacing w:line="360" w:lineRule="auto"/>
        <w:jc w:val="both"/>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c)按上述的接线说明连接各线。</w:t>
      </w:r>
    </w:p>
    <w:p>
      <w:pPr>
        <w:numPr>
          <w:ilvl w:val="0"/>
          <w:numId w:val="0"/>
        </w:numPr>
        <w:spacing w:line="360" w:lineRule="auto"/>
        <w:jc w:val="both"/>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d)合上电源。</w:t>
      </w:r>
    </w:p>
    <w:p>
      <w:pPr>
        <w:numPr>
          <w:ilvl w:val="0"/>
          <w:numId w:val="0"/>
        </w:numPr>
        <w:spacing w:line="360" w:lineRule="auto"/>
        <w:jc w:val="both"/>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e）观察集中器上的液晶显示、4G/NB-IoT及电压、电流是否正常，判断集中器工作是否正常。</w:t>
      </w:r>
    </w:p>
    <w:p>
      <w:pPr>
        <w:numPr>
          <w:ilvl w:val="0"/>
          <w:numId w:val="0"/>
        </w:numPr>
        <w:spacing w:line="360" w:lineRule="auto"/>
        <w:jc w:val="both"/>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f）检查完毕，关上配电柜前、后门，清理现场。</w:t>
      </w:r>
    </w:p>
    <w:p>
      <w:pPr>
        <w:pStyle w:val="3"/>
        <w:bidi w:val="0"/>
        <w:rPr>
          <w:rFonts w:hint="eastAsia"/>
          <w:lang w:val="en-US" w:eastAsia="zh-CN"/>
        </w:rPr>
      </w:pPr>
      <w:r>
        <w:rPr>
          <w:rFonts w:hint="eastAsia"/>
          <w:lang w:val="en-US" w:eastAsia="zh-CN"/>
        </w:rPr>
        <w:t>5、运输与储存</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路灯物联集中器运输和拆封不应受到剧烈冲击，应根据GB/T15464-1995《仪器仪表包装通用技术条件》的规定运输和储存。</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保存集中器的终端应在原包装内，保存的地方环境温度为-25℃</w:t>
      </w:r>
      <w:r>
        <w:rPr>
          <w:rFonts w:hint="default" w:ascii="Times New Roman" w:hAnsi="Times New Roman" w:eastAsia="宋体" w:cs="Times New Roman"/>
          <w:b w:val="0"/>
          <w:bCs w:val="0"/>
          <w:sz w:val="24"/>
          <w:szCs w:val="24"/>
          <w:lang w:val="en-US" w:eastAsia="zh-CN"/>
        </w:rPr>
        <w:t>~</w:t>
      </w:r>
      <w:r>
        <w:rPr>
          <w:rFonts w:hint="eastAsia" w:ascii="宋体" w:hAnsi="宋体" w:eastAsia="宋体" w:cs="宋体"/>
          <w:b w:val="0"/>
          <w:bCs w:val="0"/>
          <w:sz w:val="24"/>
          <w:szCs w:val="24"/>
          <w:lang w:val="en-US" w:eastAsia="zh-CN"/>
        </w:rPr>
        <w:t>70℃，平均相对湿度不超过75%，空气中无腐蚀性其气体。</w:t>
      </w:r>
    </w:p>
    <w:p>
      <w:pPr>
        <w:pStyle w:val="3"/>
        <w:bidi w:val="0"/>
        <w:rPr>
          <w:rFonts w:hint="eastAsia"/>
          <w:lang w:val="en-US" w:eastAsia="zh-CN"/>
        </w:rPr>
      </w:pPr>
      <w:r>
        <w:rPr>
          <w:rFonts w:hint="eastAsia"/>
          <w:lang w:val="en-US" w:eastAsia="zh-CN"/>
        </w:rPr>
        <w:t>6、附录</w:t>
      </w:r>
    </w:p>
    <w:p>
      <w:pPr>
        <w:numPr>
          <w:ilvl w:val="0"/>
          <w:numId w:val="0"/>
        </w:numPr>
        <w:spacing w:line="360" w:lineRule="auto"/>
        <w:ind w:leftChars="0"/>
        <w:jc w:val="both"/>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液晶参数设置说明</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jc w:val="both"/>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当路灯物联集中器终端组装到现场首次上电后，系统会按默认的参数进行初始化并显示软件版本号。但是默认的参数不一定符合当时现场的条件，所以需要用户进行手动的参数设置或是本地通过维护口进行参数设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jc w:val="both"/>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当液晶处于首画面时，按确认键进入主菜单目录，分为：“路灯数据显示”、“参数设置与查看”、“测量点数据显示”、“遥信与通信状态”、“终端管理与维护”。</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jc w:val="both"/>
        <w:textAlignment w:val="auto"/>
        <w:rPr>
          <w:rFonts w:hint="default"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按下液晶左键显示当前系统时间及开关灯时间，按右键显示系统三相电压及各支路电流数据。</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BC2683"/>
    <w:multiLevelType w:val="singleLevel"/>
    <w:tmpl w:val="24BC2683"/>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885C68"/>
    <w:rsid w:val="00FC1492"/>
    <w:rsid w:val="02D2342B"/>
    <w:rsid w:val="0A247E8C"/>
    <w:rsid w:val="0C885C68"/>
    <w:rsid w:val="19747218"/>
    <w:rsid w:val="1B300DDF"/>
    <w:rsid w:val="21247E59"/>
    <w:rsid w:val="21A4556E"/>
    <w:rsid w:val="224075D8"/>
    <w:rsid w:val="22B56976"/>
    <w:rsid w:val="25512811"/>
    <w:rsid w:val="2BB352C8"/>
    <w:rsid w:val="2C6D5E7A"/>
    <w:rsid w:val="2EF31D3D"/>
    <w:rsid w:val="3B2B3AF5"/>
    <w:rsid w:val="3CF37117"/>
    <w:rsid w:val="3CF413E9"/>
    <w:rsid w:val="3DF06E45"/>
    <w:rsid w:val="3E85383D"/>
    <w:rsid w:val="42007020"/>
    <w:rsid w:val="43C30137"/>
    <w:rsid w:val="4F105C05"/>
    <w:rsid w:val="58515CD1"/>
    <w:rsid w:val="58785105"/>
    <w:rsid w:val="5B1D72C4"/>
    <w:rsid w:val="643D0EA4"/>
    <w:rsid w:val="6561695D"/>
    <w:rsid w:val="65982C01"/>
    <w:rsid w:val="66EF587A"/>
    <w:rsid w:val="678A0F66"/>
    <w:rsid w:val="69FA7753"/>
    <w:rsid w:val="6A205136"/>
    <w:rsid w:val="6B871A18"/>
    <w:rsid w:val="6F8D2528"/>
    <w:rsid w:val="75314B4A"/>
    <w:rsid w:val="7C461BA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unhideWhenUsed/>
    <w:qFormat/>
    <w:uiPriority w:val="0"/>
    <w:pPr>
      <w:keepNext/>
      <w:keepLines/>
      <w:spacing w:beforeLines="0" w:beforeAutospacing="0" w:afterLines="0" w:afterAutospacing="0" w:line="360" w:lineRule="auto"/>
      <w:outlineLvl w:val="1"/>
    </w:pPr>
    <w:rPr>
      <w:rFonts w:ascii="Arial" w:hAnsi="Arial" w:eastAsia="黑体"/>
      <w:b/>
      <w:sz w:val="32"/>
    </w:rPr>
  </w:style>
  <w:style w:type="paragraph" w:styleId="4">
    <w:name w:val="heading 3"/>
    <w:basedOn w:val="1"/>
    <w:next w:val="1"/>
    <w:unhideWhenUsed/>
    <w:qFormat/>
    <w:uiPriority w:val="0"/>
    <w:pPr>
      <w:keepNext/>
      <w:keepLines/>
      <w:spacing w:beforeLines="0" w:beforeAutospacing="0" w:afterLines="0" w:afterAutospacing="0" w:line="360" w:lineRule="auto"/>
      <w:outlineLvl w:val="2"/>
    </w:pPr>
    <w:rPr>
      <w:rFonts w:asciiTheme="minorAscii" w:hAnsiTheme="minorAscii"/>
      <w:b/>
      <w:sz w:val="32"/>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2020-08-17T05:05:00Z</dcterms:created>
  <dc:creator>Administrator</dc:creator>
  <cp:lastModifiedBy>大茉莉</cp:lastModifiedBy>
  <dcterms:modified xsi:type="dcterms:W3CDTF">2020-12-16T02:26:24Z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